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45" w:rsidRDefault="006F5822" w:rsidP="00C2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b/>
        </w:rPr>
      </w:pPr>
      <w:r w:rsidRPr="00D973BF">
        <w:rPr>
          <w:rFonts w:ascii="Cambria" w:hAnsi="Cambria" w:cs="Times New Roman"/>
          <w:b/>
        </w:rPr>
        <w:t xml:space="preserve">Afin de pouvoir procéder à la publication </w:t>
      </w:r>
      <w:r w:rsidR="00A541CF" w:rsidRPr="00D973BF">
        <w:rPr>
          <w:rFonts w:ascii="Cambria" w:hAnsi="Cambria" w:cs="Times New Roman"/>
          <w:b/>
        </w:rPr>
        <w:t>du nom de votre entreprise, accompagné des résultats de test du complexe que vous utilisez,</w:t>
      </w:r>
      <w:r w:rsidRPr="00D973BF">
        <w:rPr>
          <w:rFonts w:ascii="Cambria" w:hAnsi="Cambria" w:cs="Times New Roman"/>
          <w:b/>
        </w:rPr>
        <w:t xml:space="preserve"> sur le site internet de la Direction Générale des Entreprises (DGE), </w:t>
      </w:r>
      <w:r w:rsidR="00C2584B" w:rsidRPr="00D973BF">
        <w:rPr>
          <w:rFonts w:ascii="Cambria" w:hAnsi="Cambria" w:cs="Times New Roman"/>
          <w:b/>
        </w:rPr>
        <w:t xml:space="preserve">merci de renvoyer </w:t>
      </w:r>
      <w:r w:rsidR="00A541CF" w:rsidRPr="00D973BF">
        <w:rPr>
          <w:rFonts w:ascii="Cambria" w:hAnsi="Cambria" w:cs="Times New Roman"/>
          <w:b/>
        </w:rPr>
        <w:t>à l’adresse</w:t>
      </w:r>
      <w:r w:rsidRPr="00D973BF">
        <w:rPr>
          <w:rFonts w:ascii="Cambria" w:hAnsi="Cambria" w:cs="Times New Roman"/>
          <w:b/>
        </w:rPr>
        <w:t xml:space="preserve"> </w:t>
      </w:r>
      <w:hyperlink r:id="rId8" w:history="1">
        <w:r w:rsidRPr="00D973BF">
          <w:rPr>
            <w:rStyle w:val="Lienhypertexte"/>
            <w:rFonts w:ascii="Cambria" w:hAnsi="Cambria" w:cs="Times New Roman"/>
            <w:b/>
          </w:rPr>
          <w:t>masques.dge@finances.gouv.fr</w:t>
        </w:r>
      </w:hyperlink>
      <w:r w:rsidR="002E0545">
        <w:rPr>
          <w:rFonts w:ascii="Cambria" w:hAnsi="Cambria" w:cs="Times New Roman"/>
          <w:b/>
        </w:rPr>
        <w:t>:</w:t>
      </w:r>
    </w:p>
    <w:p w:rsidR="006F5822" w:rsidRDefault="002E0545" w:rsidP="00C2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 xml:space="preserve">- </w:t>
      </w:r>
      <w:r w:rsidR="00C2584B" w:rsidRPr="00D973BF">
        <w:rPr>
          <w:rFonts w:ascii="Cambria" w:hAnsi="Cambria" w:cs="Times New Roman"/>
          <w:b/>
        </w:rPr>
        <w:t>la présente attestation entière</w:t>
      </w:r>
      <w:r>
        <w:rPr>
          <w:rFonts w:ascii="Cambria" w:hAnsi="Cambria" w:cs="Times New Roman"/>
          <w:b/>
        </w:rPr>
        <w:t>ment complétée, datée et signée ;</w:t>
      </w:r>
    </w:p>
    <w:p w:rsidR="0019156A" w:rsidRDefault="0019156A" w:rsidP="00C2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- le scan d’une pièce d’identité (carte nationale d’identité, passeport)</w:t>
      </w:r>
      <w:bookmarkStart w:id="0" w:name="_GoBack"/>
      <w:bookmarkEnd w:id="0"/>
    </w:p>
    <w:p w:rsidR="002E0545" w:rsidRPr="00D973BF" w:rsidRDefault="002E0545" w:rsidP="00C258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Times New Roman"/>
          <w:b/>
        </w:rPr>
      </w:pPr>
      <w:r>
        <w:rPr>
          <w:rFonts w:ascii="Cambria" w:hAnsi="Cambria" w:cs="Times New Roman"/>
          <w:b/>
        </w:rPr>
        <w:t>- le rapport d’essais du complexe utilisé.</w:t>
      </w:r>
    </w:p>
    <w:p w:rsidR="008C6C6B" w:rsidRPr="00D973BF" w:rsidRDefault="008C6C6B">
      <w:pPr>
        <w:rPr>
          <w:rFonts w:ascii="Cambria" w:hAnsi="Cambria" w:cs="Times New Roman"/>
        </w:rPr>
      </w:pPr>
    </w:p>
    <w:p w:rsidR="00A541CF" w:rsidRPr="00D973BF" w:rsidRDefault="00A808C1" w:rsidP="00A541CF">
      <w:pPr>
        <w:rPr>
          <w:rFonts w:ascii="Cambria" w:hAnsi="Cambria"/>
        </w:rPr>
      </w:pPr>
      <w:r w:rsidRPr="00D973BF">
        <w:rPr>
          <w:rFonts w:ascii="Cambria" w:hAnsi="Cambria"/>
        </w:rPr>
        <w:t>Tableau 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091"/>
        <w:gridCol w:w="2969"/>
      </w:tblGrid>
      <w:tr w:rsidR="00BA4A34" w:rsidRPr="00D973BF" w:rsidTr="004429BA">
        <w:tc>
          <w:tcPr>
            <w:tcW w:w="6091" w:type="dxa"/>
          </w:tcPr>
          <w:p w:rsidR="00BA4A34" w:rsidRPr="00D973BF" w:rsidRDefault="00BA4A34">
            <w:pPr>
              <w:rPr>
                <w:rFonts w:ascii="Cambria" w:hAnsi="Cambria" w:cs="Times New Roman"/>
              </w:rPr>
            </w:pPr>
          </w:p>
        </w:tc>
        <w:tc>
          <w:tcPr>
            <w:tcW w:w="2969" w:type="dxa"/>
            <w:shd w:val="clear" w:color="auto" w:fill="DEEAF6" w:themeFill="accent1" w:themeFillTint="33"/>
          </w:tcPr>
          <w:p w:rsidR="00BA4A34" w:rsidRPr="00D973BF" w:rsidRDefault="00C2584B" w:rsidP="00C2584B">
            <w:pPr>
              <w:jc w:val="center"/>
              <w:rPr>
                <w:rFonts w:ascii="Cambria" w:hAnsi="Cambria" w:cs="Times New Roman"/>
                <w:b/>
              </w:rPr>
            </w:pPr>
            <w:r w:rsidRPr="00D973BF">
              <w:rPr>
                <w:rFonts w:ascii="Cambria" w:hAnsi="Cambria" w:cs="Times New Roman"/>
                <w:b/>
              </w:rPr>
              <w:t>A</w:t>
            </w:r>
            <w:r w:rsidR="006F5822" w:rsidRPr="00D973BF">
              <w:rPr>
                <w:rFonts w:ascii="Cambria" w:hAnsi="Cambria" w:cs="Times New Roman"/>
                <w:b/>
              </w:rPr>
              <w:t xml:space="preserve"> compléter</w:t>
            </w:r>
          </w:p>
        </w:tc>
      </w:tr>
      <w:tr w:rsidR="00BA4A34" w:rsidRPr="00D973BF" w:rsidTr="004429BA">
        <w:tc>
          <w:tcPr>
            <w:tcW w:w="6091" w:type="dxa"/>
          </w:tcPr>
          <w:p w:rsidR="00BA4A34" w:rsidRPr="00D973BF" w:rsidRDefault="00C2584B">
            <w:pPr>
              <w:rPr>
                <w:rFonts w:ascii="Cambria" w:hAnsi="Cambria" w:cs="Times New Roman"/>
              </w:rPr>
            </w:pPr>
            <w:r w:rsidRPr="00D973BF">
              <w:rPr>
                <w:rFonts w:ascii="Cambria" w:hAnsi="Cambria" w:cs="Times New Roman"/>
              </w:rPr>
              <w:t xml:space="preserve">Nom de l’entreprise </w:t>
            </w:r>
          </w:p>
        </w:tc>
        <w:tc>
          <w:tcPr>
            <w:tcW w:w="2969" w:type="dxa"/>
            <w:shd w:val="clear" w:color="auto" w:fill="DEEAF6" w:themeFill="accent1" w:themeFillTint="33"/>
          </w:tcPr>
          <w:p w:rsidR="00BA4A34" w:rsidRPr="00D973BF" w:rsidRDefault="00BA4A34">
            <w:pPr>
              <w:rPr>
                <w:rFonts w:ascii="Cambria" w:hAnsi="Cambria" w:cs="Times New Roman"/>
              </w:rPr>
            </w:pPr>
          </w:p>
        </w:tc>
      </w:tr>
      <w:tr w:rsidR="00BA4A34" w:rsidRPr="00D973BF" w:rsidTr="006F5822">
        <w:tc>
          <w:tcPr>
            <w:tcW w:w="6091" w:type="dxa"/>
            <w:tcBorders>
              <w:bottom w:val="single" w:sz="4" w:space="0" w:color="auto"/>
            </w:tcBorders>
          </w:tcPr>
          <w:p w:rsidR="00BA4A34" w:rsidRPr="00D973BF" w:rsidRDefault="00C2584B">
            <w:pPr>
              <w:rPr>
                <w:rFonts w:ascii="Cambria" w:hAnsi="Cambria" w:cs="Times New Roman"/>
              </w:rPr>
            </w:pPr>
            <w:r w:rsidRPr="00D973BF">
              <w:rPr>
                <w:rFonts w:ascii="Cambria" w:hAnsi="Cambria" w:cs="Times New Roman"/>
              </w:rPr>
              <w:t>Nom de l’entreprise titulaire de résultats de tests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A4A34" w:rsidRPr="00D973BF" w:rsidRDefault="00BA4A34">
            <w:pPr>
              <w:rPr>
                <w:rFonts w:ascii="Cambria" w:hAnsi="Cambria" w:cs="Times New Roman"/>
              </w:rPr>
            </w:pPr>
          </w:p>
        </w:tc>
      </w:tr>
      <w:tr w:rsidR="00BA4A34" w:rsidRPr="00D973BF" w:rsidTr="006F5822">
        <w:tc>
          <w:tcPr>
            <w:tcW w:w="6091" w:type="dxa"/>
            <w:tcBorders>
              <w:bottom w:val="single" w:sz="4" w:space="0" w:color="auto"/>
            </w:tcBorders>
          </w:tcPr>
          <w:p w:rsidR="00BA4A34" w:rsidRPr="00D973BF" w:rsidRDefault="00C2584B" w:rsidP="00C2584B">
            <w:pPr>
              <w:rPr>
                <w:rFonts w:ascii="Cambria" w:hAnsi="Cambria" w:cs="Times New Roman"/>
              </w:rPr>
            </w:pPr>
            <w:r w:rsidRPr="00D973BF">
              <w:rPr>
                <w:rFonts w:ascii="Cambria" w:hAnsi="Cambria" w:cs="Times New Roman"/>
              </w:rPr>
              <w:t>Référence du</w:t>
            </w:r>
            <w:r w:rsidR="00BA4A34" w:rsidRPr="00D973BF">
              <w:rPr>
                <w:rFonts w:ascii="Cambria" w:hAnsi="Cambria" w:cs="Times New Roman"/>
              </w:rPr>
              <w:t xml:space="preserve"> r</w:t>
            </w:r>
            <w:r w:rsidRPr="00D973BF">
              <w:rPr>
                <w:rFonts w:ascii="Cambria" w:hAnsi="Cambria" w:cs="Times New Roman"/>
              </w:rPr>
              <w:t>apport DGA (de type RP 20-XXXX)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:rsidR="00BA4A34" w:rsidRPr="00D973BF" w:rsidRDefault="00BA4A34">
            <w:pPr>
              <w:rPr>
                <w:rFonts w:ascii="Cambria" w:hAnsi="Cambria" w:cs="Times New Roman"/>
              </w:rPr>
            </w:pPr>
          </w:p>
        </w:tc>
      </w:tr>
      <w:tr w:rsidR="00BA4A34" w:rsidRPr="00D973BF" w:rsidTr="00005032">
        <w:trPr>
          <w:trHeight w:val="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A34" w:rsidRPr="00D973BF" w:rsidRDefault="004429BA">
            <w:pPr>
              <w:rPr>
                <w:rFonts w:ascii="Cambria" w:hAnsi="Cambria" w:cs="Times New Roman"/>
              </w:rPr>
            </w:pPr>
            <w:r w:rsidRPr="00D973BF">
              <w:rPr>
                <w:rFonts w:ascii="Cambria" w:hAnsi="Cambria" w:cs="Times New Roman"/>
              </w:rPr>
              <w:t>Pour le numéro de complexe suivant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BA4A34" w:rsidRPr="00D973BF" w:rsidRDefault="00BA4A34">
            <w:pPr>
              <w:rPr>
                <w:rFonts w:ascii="Cambria" w:hAnsi="Cambria" w:cs="Times New Roman"/>
                <w:b/>
              </w:rPr>
            </w:pPr>
          </w:p>
        </w:tc>
      </w:tr>
      <w:tr w:rsidR="00005032" w:rsidRPr="00D973BF" w:rsidTr="00005032">
        <w:trPr>
          <w:trHeight w:val="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F" w:rsidRPr="00D973BF" w:rsidRDefault="003B0C3F" w:rsidP="003B0C3F">
            <w:pPr>
              <w:rPr>
                <w:rFonts w:ascii="Cambria" w:hAnsi="Cambria" w:cs="Times New Roman"/>
              </w:rPr>
            </w:pPr>
            <w:r w:rsidRPr="00D973BF">
              <w:rPr>
                <w:rFonts w:ascii="Cambria" w:hAnsi="Cambria" w:cs="Times New Roman"/>
              </w:rPr>
              <w:t>Le patron utilisé pour confectionner le design du masque est (cocher la case correspondante) :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05032" w:rsidRPr="00D973BF" w:rsidRDefault="00005032" w:rsidP="003B0C3F">
            <w:pPr>
              <w:rPr>
                <w:rFonts w:ascii="Cambria" w:hAnsi="Cambria" w:cs="Times New Roman"/>
                <w:b/>
              </w:rPr>
            </w:pPr>
          </w:p>
        </w:tc>
      </w:tr>
      <w:tr w:rsidR="003B0C3F" w:rsidRPr="00D973BF" w:rsidTr="00005032">
        <w:trPr>
          <w:trHeight w:val="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F" w:rsidRPr="00D973BF" w:rsidRDefault="003B0C3F" w:rsidP="003B0C3F">
            <w:pPr>
              <w:pStyle w:val="Paragraphedeliste"/>
              <w:numPr>
                <w:ilvl w:val="1"/>
                <w:numId w:val="4"/>
              </w:numPr>
              <w:rPr>
                <w:rFonts w:ascii="Cambria" w:hAnsi="Cambria" w:cs="Times New Roman"/>
                <w:b/>
              </w:rPr>
            </w:pPr>
            <w:r w:rsidRPr="00D973BF">
              <w:rPr>
                <w:rFonts w:ascii="Cambria" w:hAnsi="Cambria" w:cs="Times New Roman"/>
              </w:rPr>
              <w:t>Le patron IFTH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0C3F" w:rsidRPr="00D973BF" w:rsidRDefault="003B0C3F" w:rsidP="003B0C3F">
            <w:pPr>
              <w:ind w:left="1080"/>
              <w:rPr>
                <w:rFonts w:ascii="Cambria" w:hAnsi="Cambria" w:cs="Times New Roman"/>
              </w:rPr>
            </w:pPr>
          </w:p>
        </w:tc>
      </w:tr>
      <w:tr w:rsidR="003B0C3F" w:rsidRPr="00D973BF" w:rsidTr="00005032">
        <w:trPr>
          <w:trHeight w:val="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F" w:rsidRPr="00D973BF" w:rsidRDefault="003B0C3F" w:rsidP="003B0C3F">
            <w:pPr>
              <w:pStyle w:val="Paragraphedeliste"/>
              <w:numPr>
                <w:ilvl w:val="1"/>
                <w:numId w:val="4"/>
              </w:numPr>
              <w:rPr>
                <w:rFonts w:ascii="Cambria" w:hAnsi="Cambria" w:cs="Times New Roman"/>
                <w:b/>
              </w:rPr>
            </w:pPr>
            <w:r w:rsidRPr="00D973BF">
              <w:rPr>
                <w:rFonts w:ascii="Cambria" w:hAnsi="Cambria" w:cs="Times New Roman"/>
              </w:rPr>
              <w:t>Le patron AFNOR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0C3F" w:rsidRPr="00D973BF" w:rsidRDefault="003B0C3F" w:rsidP="003B0C3F">
            <w:pPr>
              <w:ind w:left="1080"/>
              <w:rPr>
                <w:rFonts w:ascii="Cambria" w:hAnsi="Cambria" w:cs="Times New Roman"/>
              </w:rPr>
            </w:pPr>
          </w:p>
        </w:tc>
      </w:tr>
      <w:tr w:rsidR="003B0C3F" w:rsidRPr="00D973BF" w:rsidTr="00005032">
        <w:trPr>
          <w:trHeight w:val="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F" w:rsidRPr="00D973BF" w:rsidRDefault="003B0C3F" w:rsidP="003B0C3F">
            <w:pPr>
              <w:pStyle w:val="Paragraphedeliste"/>
              <w:numPr>
                <w:ilvl w:val="1"/>
                <w:numId w:val="4"/>
              </w:numPr>
              <w:rPr>
                <w:rFonts w:ascii="Cambria" w:hAnsi="Cambria" w:cs="Times New Roman"/>
                <w:b/>
              </w:rPr>
            </w:pPr>
            <w:r w:rsidRPr="00D973BF">
              <w:rPr>
                <w:rFonts w:ascii="Cambria" w:hAnsi="Cambria" w:cs="Times New Roman"/>
              </w:rPr>
              <w:t>Un autre patron validé par la DGA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0C3F" w:rsidRPr="00D973BF" w:rsidRDefault="003B0C3F" w:rsidP="003B0C3F">
            <w:pPr>
              <w:ind w:left="1080"/>
              <w:rPr>
                <w:rFonts w:ascii="Cambria" w:hAnsi="Cambria" w:cs="Times New Roman"/>
              </w:rPr>
            </w:pPr>
          </w:p>
        </w:tc>
      </w:tr>
      <w:tr w:rsidR="003B0C3F" w:rsidRPr="00D973BF" w:rsidTr="00005032">
        <w:trPr>
          <w:trHeight w:val="7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C3F" w:rsidRPr="00D973BF" w:rsidRDefault="003B0C3F" w:rsidP="003B0C3F">
            <w:pPr>
              <w:pStyle w:val="Paragraphedeliste"/>
              <w:numPr>
                <w:ilvl w:val="1"/>
                <w:numId w:val="4"/>
              </w:numPr>
              <w:rPr>
                <w:rFonts w:ascii="Cambria" w:hAnsi="Cambria" w:cs="Times New Roman"/>
              </w:rPr>
            </w:pPr>
            <w:r w:rsidRPr="00D973BF">
              <w:rPr>
                <w:rFonts w:ascii="Cambria" w:hAnsi="Cambria" w:cs="Times New Roman"/>
              </w:rPr>
              <w:t>Autre</w:t>
            </w:r>
            <w:r w:rsidR="00C2584B" w:rsidRPr="00D973BF">
              <w:rPr>
                <w:rFonts w:ascii="Cambria" w:hAnsi="Cambria" w:cs="Times New Roman"/>
              </w:rPr>
              <w:t>,</w:t>
            </w:r>
            <w:r w:rsidR="00C2584B" w:rsidRPr="00D973BF">
              <w:rPr>
                <w:rFonts w:ascii="Cambria" w:hAnsi="Cambria" w:cs="Times New Roman"/>
                <w:b/>
              </w:rPr>
              <w:t xml:space="preserve"> à préciser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3B0C3F" w:rsidRPr="00D973BF" w:rsidRDefault="003B0C3F" w:rsidP="003B0C3F">
            <w:pPr>
              <w:ind w:left="1080"/>
              <w:rPr>
                <w:rFonts w:ascii="Cambria" w:hAnsi="Cambria" w:cs="Times New Roman"/>
              </w:rPr>
            </w:pPr>
          </w:p>
        </w:tc>
      </w:tr>
    </w:tbl>
    <w:p w:rsidR="004429BA" w:rsidRPr="00D973BF" w:rsidRDefault="004429BA" w:rsidP="004429BA">
      <w:pPr>
        <w:pStyle w:val="xmsonormal"/>
        <w:rPr>
          <w:rFonts w:ascii="Cambria" w:hAnsi="Cambria"/>
        </w:rPr>
      </w:pPr>
    </w:p>
    <w:p w:rsidR="00C2584B" w:rsidRPr="00D973BF" w:rsidRDefault="00C2584B" w:rsidP="004429BA">
      <w:pPr>
        <w:pStyle w:val="xmsonormal"/>
        <w:rPr>
          <w:rFonts w:ascii="Cambria" w:hAnsi="Cambria"/>
        </w:rPr>
      </w:pPr>
    </w:p>
    <w:p w:rsidR="00C2584B" w:rsidRPr="00D973BF" w:rsidRDefault="00C2584B" w:rsidP="004429BA">
      <w:pPr>
        <w:pStyle w:val="xmsonormal"/>
        <w:rPr>
          <w:rFonts w:ascii="Cambria" w:hAnsi="Cambria"/>
        </w:rPr>
        <w:sectPr w:rsidR="00C2584B" w:rsidRPr="00D973BF" w:rsidSect="00C2584B">
          <w:headerReference w:type="default" r:id="rId9"/>
          <w:footerReference w:type="default" r:id="rId10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:rsidR="00C2584B" w:rsidRPr="00D973BF" w:rsidRDefault="00C2584B" w:rsidP="004429BA">
      <w:pPr>
        <w:pStyle w:val="xmsonormal"/>
        <w:rPr>
          <w:rFonts w:ascii="Cambria" w:hAnsi="Cambria"/>
        </w:rPr>
      </w:pPr>
      <w:r w:rsidRPr="00D973BF">
        <w:rPr>
          <w:rFonts w:ascii="Cambria" w:hAnsi="Cambria"/>
        </w:rPr>
        <w:lastRenderedPageBreak/>
        <w:t xml:space="preserve">Tableau 2 (seules sont publiées les informations surlignées </w:t>
      </w:r>
      <w:r w:rsidRPr="00D973BF">
        <w:rPr>
          <w:rFonts w:ascii="Cambria" w:hAnsi="Cambria"/>
          <w:highlight w:val="yellow"/>
        </w:rPr>
        <w:t>en jaune</w:t>
      </w:r>
      <w:r w:rsidRPr="00D973BF">
        <w:rPr>
          <w:rFonts w:ascii="Cambria" w:hAnsi="Cambria"/>
        </w:rPr>
        <w:t>)</w:t>
      </w:r>
    </w:p>
    <w:p w:rsidR="00C2584B" w:rsidRPr="00D973BF" w:rsidRDefault="00C2584B" w:rsidP="004429BA">
      <w:pPr>
        <w:pStyle w:val="xmsonormal"/>
        <w:rPr>
          <w:rFonts w:ascii="Cambria" w:hAnsi="Cambria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5"/>
        <w:gridCol w:w="1150"/>
        <w:gridCol w:w="1041"/>
        <w:gridCol w:w="1265"/>
        <w:gridCol w:w="1774"/>
        <w:gridCol w:w="1201"/>
        <w:gridCol w:w="1388"/>
        <w:gridCol w:w="842"/>
        <w:gridCol w:w="1134"/>
        <w:gridCol w:w="772"/>
        <w:gridCol w:w="1100"/>
        <w:gridCol w:w="1092"/>
      </w:tblGrid>
      <w:tr w:rsidR="00C2584B" w:rsidRPr="00D973BF" w:rsidTr="00C2584B">
        <w:trPr>
          <w:trHeight w:val="1273"/>
        </w:trPr>
        <w:tc>
          <w:tcPr>
            <w:tcW w:w="44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</w:rPr>
            </w:pPr>
            <w:r w:rsidRPr="00D973BF">
              <w:rPr>
                <w:rFonts w:ascii="Cambria" w:hAnsi="Cambria"/>
                <w:color w:val="FFFFFF"/>
                <w:sz w:val="18"/>
                <w:szCs w:val="18"/>
              </w:rPr>
              <w:t>Contact du dirigeant (nom prénom)</w:t>
            </w:r>
          </w:p>
        </w:tc>
        <w:tc>
          <w:tcPr>
            <w:tcW w:w="41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C2584B" w:rsidP="00C2584B">
            <w:pPr>
              <w:rPr>
                <w:rFonts w:ascii="Cambria" w:hAnsi="Cambria"/>
              </w:rPr>
            </w:pPr>
            <w:r w:rsidRPr="00D973BF">
              <w:rPr>
                <w:rFonts w:ascii="Cambria" w:hAnsi="Cambria"/>
                <w:color w:val="FFFFFF"/>
                <w:sz w:val="18"/>
                <w:szCs w:val="18"/>
              </w:rPr>
              <w:t>C</w:t>
            </w:r>
            <w:r w:rsidR="004429BA" w:rsidRPr="00D973BF">
              <w:rPr>
                <w:rFonts w:ascii="Cambria" w:hAnsi="Cambria"/>
                <w:color w:val="FFFFFF"/>
                <w:sz w:val="18"/>
                <w:szCs w:val="18"/>
              </w:rPr>
              <w:t>ontact du dirigeant n° téléphone (portable et/ou fixe)</w:t>
            </w:r>
          </w:p>
        </w:tc>
        <w:tc>
          <w:tcPr>
            <w:tcW w:w="3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C2584B" w:rsidP="004429BA">
            <w:pPr>
              <w:jc w:val="center"/>
              <w:rPr>
                <w:rFonts w:ascii="Cambria" w:hAnsi="Cambria"/>
              </w:rPr>
            </w:pPr>
            <w:r w:rsidRPr="00D973BF">
              <w:rPr>
                <w:rFonts w:ascii="Cambria" w:hAnsi="Cambria"/>
                <w:color w:val="FFFFFF"/>
                <w:sz w:val="18"/>
                <w:szCs w:val="18"/>
              </w:rPr>
              <w:t>C</w:t>
            </w:r>
            <w:r w:rsidR="004429BA" w:rsidRPr="00D973BF">
              <w:rPr>
                <w:rFonts w:ascii="Cambria" w:hAnsi="Cambria"/>
                <w:color w:val="FFFFFF"/>
                <w:sz w:val="18"/>
                <w:szCs w:val="18"/>
              </w:rPr>
              <w:t>ontact du dirigeant (email)</w:t>
            </w:r>
          </w:p>
        </w:tc>
        <w:tc>
          <w:tcPr>
            <w:tcW w:w="45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</w:rPr>
            </w:pPr>
            <w:r w:rsidRPr="00D973BF">
              <w:rPr>
                <w:rFonts w:ascii="Cambria" w:hAnsi="Cambria"/>
                <w:sz w:val="18"/>
                <w:szCs w:val="18"/>
                <w:highlight w:val="yellow"/>
              </w:rPr>
              <w:t>Contact commercial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vAlign w:val="center"/>
          </w:tcPr>
          <w:p w:rsidR="004429BA" w:rsidRPr="00D973BF" w:rsidRDefault="00C2584B" w:rsidP="00C2584B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  <w:r w:rsidRPr="00D973BF">
              <w:rPr>
                <w:rFonts w:ascii="Cambria" w:hAnsi="Cambria"/>
                <w:color w:val="FFFFFF"/>
                <w:sz w:val="18"/>
                <w:szCs w:val="18"/>
              </w:rPr>
              <w:t>E</w:t>
            </w:r>
            <w:r w:rsidR="004429BA" w:rsidRPr="00D973BF">
              <w:rPr>
                <w:rFonts w:ascii="Cambria" w:hAnsi="Cambria"/>
                <w:color w:val="FFFFFF"/>
                <w:sz w:val="18"/>
                <w:szCs w:val="18"/>
              </w:rPr>
              <w:t xml:space="preserve">stimation du </w:t>
            </w:r>
            <w:r w:rsidRPr="00D973BF">
              <w:rPr>
                <w:rFonts w:ascii="Cambria" w:hAnsi="Cambria"/>
                <w:color w:val="FFFFFF"/>
                <w:sz w:val="18"/>
                <w:szCs w:val="18"/>
              </w:rPr>
              <w:t>%</w:t>
            </w:r>
            <w:r w:rsidR="004429BA" w:rsidRPr="00D973BF">
              <w:rPr>
                <w:rFonts w:ascii="Cambria" w:hAnsi="Cambria"/>
                <w:color w:val="FFFFFF"/>
                <w:sz w:val="18"/>
                <w:szCs w:val="18"/>
              </w:rPr>
              <w:t xml:space="preserve"> </w:t>
            </w:r>
            <w:r w:rsidRPr="00D973BF">
              <w:rPr>
                <w:rFonts w:ascii="Cambria" w:hAnsi="Cambria"/>
                <w:color w:val="FFFFFF"/>
                <w:sz w:val="18"/>
                <w:szCs w:val="18"/>
              </w:rPr>
              <w:t xml:space="preserve">de production réalisé </w:t>
            </w:r>
            <w:r w:rsidR="004429BA" w:rsidRPr="00D973BF">
              <w:rPr>
                <w:rFonts w:ascii="Cambria" w:hAnsi="Cambria"/>
                <w:color w:val="FFFFFF"/>
                <w:sz w:val="18"/>
                <w:szCs w:val="18"/>
              </w:rPr>
              <w:t>en France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C2584B" w:rsidP="00C2584B">
            <w:pPr>
              <w:jc w:val="center"/>
              <w:rPr>
                <w:rFonts w:ascii="Cambria" w:hAnsi="Cambria"/>
                <w:sz w:val="18"/>
                <w:szCs w:val="18"/>
                <w:highlight w:val="yellow"/>
              </w:rPr>
            </w:pPr>
            <w:r w:rsidRPr="00D973BF">
              <w:rPr>
                <w:rFonts w:ascii="Cambria" w:hAnsi="Cambria"/>
                <w:sz w:val="18"/>
                <w:szCs w:val="18"/>
                <w:highlight w:val="yellow"/>
              </w:rPr>
              <w:t>Ville de production</w:t>
            </w:r>
          </w:p>
        </w:tc>
        <w:tc>
          <w:tcPr>
            <w:tcW w:w="4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highlight w:val="yellow"/>
              </w:rPr>
            </w:pPr>
            <w:r w:rsidRPr="00D973BF">
              <w:rPr>
                <w:rFonts w:ascii="Cambria" w:hAnsi="Cambria"/>
                <w:sz w:val="18"/>
                <w:szCs w:val="18"/>
                <w:highlight w:val="yellow"/>
              </w:rPr>
              <w:t>Département</w:t>
            </w:r>
          </w:p>
        </w:tc>
        <w:tc>
          <w:tcPr>
            <w:tcW w:w="30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highlight w:val="yellow"/>
              </w:rPr>
            </w:pPr>
            <w:r w:rsidRPr="00D973BF">
              <w:rPr>
                <w:rFonts w:ascii="Cambria" w:hAnsi="Cambria"/>
                <w:sz w:val="18"/>
                <w:szCs w:val="18"/>
                <w:highlight w:val="yellow"/>
              </w:rPr>
              <w:t>Région</w:t>
            </w:r>
          </w:p>
        </w:tc>
        <w:tc>
          <w:tcPr>
            <w:tcW w:w="4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highlight w:val="yellow"/>
              </w:rPr>
            </w:pPr>
            <w:r w:rsidRPr="00D973BF">
              <w:rPr>
                <w:rFonts w:ascii="Cambria" w:hAnsi="Cambria"/>
                <w:sz w:val="18"/>
                <w:szCs w:val="18"/>
                <w:highlight w:val="yellow"/>
              </w:rPr>
              <w:t>Nom du (ou des) produit(s)</w:t>
            </w:r>
          </w:p>
        </w:tc>
        <w:tc>
          <w:tcPr>
            <w:tcW w:w="27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</w:rPr>
            </w:pPr>
            <w:r w:rsidRPr="00D973BF">
              <w:rPr>
                <w:rFonts w:ascii="Cambria" w:hAnsi="Cambria"/>
                <w:color w:val="FFFFFF"/>
                <w:sz w:val="18"/>
                <w:szCs w:val="18"/>
              </w:rPr>
              <w:t>Prix (HT)</w:t>
            </w:r>
          </w:p>
        </w:tc>
        <w:tc>
          <w:tcPr>
            <w:tcW w:w="3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429BA" w:rsidRPr="00D973BF" w:rsidRDefault="00C2584B" w:rsidP="004429BA">
            <w:pPr>
              <w:jc w:val="center"/>
              <w:rPr>
                <w:rFonts w:ascii="Cambria" w:hAnsi="Cambria"/>
              </w:rPr>
            </w:pPr>
            <w:r w:rsidRPr="00D973BF">
              <w:rPr>
                <w:rFonts w:ascii="Cambria" w:hAnsi="Cambria"/>
                <w:color w:val="FFFFFF"/>
                <w:sz w:val="18"/>
                <w:szCs w:val="18"/>
              </w:rPr>
              <w:t>Lavable</w:t>
            </w:r>
            <w:r w:rsidR="004429BA" w:rsidRPr="00D973BF">
              <w:rPr>
                <w:rFonts w:ascii="Cambria" w:hAnsi="Cambria"/>
                <w:color w:val="FFFFFF"/>
                <w:sz w:val="18"/>
                <w:szCs w:val="18"/>
              </w:rPr>
              <w:t xml:space="preserve"> / Usage unique</w:t>
            </w:r>
          </w:p>
        </w:tc>
        <w:tc>
          <w:tcPr>
            <w:tcW w:w="39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4472C4"/>
            <w:vAlign w:val="center"/>
            <w:hideMark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  <w:r w:rsidRPr="00D973BF">
              <w:rPr>
                <w:rFonts w:ascii="Cambria" w:hAnsi="Cambria"/>
                <w:color w:val="FFFFFF"/>
                <w:sz w:val="18"/>
                <w:szCs w:val="18"/>
              </w:rPr>
              <w:t>Les masques sont-ils lavés avant d’être mis sur le marché ? Si oui, combien de fois ?</w:t>
            </w:r>
          </w:p>
        </w:tc>
      </w:tr>
      <w:tr w:rsidR="00C2584B" w:rsidRPr="00D973BF" w:rsidTr="00C2584B">
        <w:trPr>
          <w:trHeight w:val="288"/>
        </w:trPr>
        <w:tc>
          <w:tcPr>
            <w:tcW w:w="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4429BA" w:rsidRPr="00D973BF" w:rsidRDefault="004429BA" w:rsidP="004429BA">
            <w:pPr>
              <w:jc w:val="center"/>
              <w:rPr>
                <w:rFonts w:ascii="Cambria" w:hAnsi="Cambria"/>
                <w:color w:val="FFFFFF"/>
                <w:sz w:val="18"/>
                <w:szCs w:val="18"/>
              </w:rPr>
            </w:pPr>
          </w:p>
        </w:tc>
      </w:tr>
    </w:tbl>
    <w:p w:rsidR="00C2584B" w:rsidRPr="00D973BF" w:rsidRDefault="00C2584B" w:rsidP="004429BA">
      <w:pPr>
        <w:rPr>
          <w:rFonts w:ascii="Cambria" w:hAnsi="Cambria" w:cs="Times New Roman"/>
          <w:i/>
        </w:rPr>
      </w:pPr>
    </w:p>
    <w:p w:rsidR="00C2584B" w:rsidRPr="00D973BF" w:rsidRDefault="00C2584B" w:rsidP="004429BA">
      <w:pPr>
        <w:rPr>
          <w:rFonts w:ascii="Cambria" w:hAnsi="Cambria"/>
        </w:rPr>
      </w:pPr>
      <w:r w:rsidRPr="00D973BF">
        <w:rPr>
          <w:rFonts w:ascii="Cambria" w:hAnsi="Cambria"/>
        </w:rPr>
        <w:t>Tableau 3 (non publié, sauf la capacité de la semaine en cours et la capacité prévue fin mai ; pour les semaines passées, indiquer le réalisé ; pour les semaines à venir, la capacité de production prévisionnelle)</w:t>
      </w:r>
      <w:r w:rsidRPr="00D973BF">
        <w:rPr>
          <w:rFonts w:ascii="Cambria" w:hAnsi="Cambria"/>
        </w:rPr>
        <w:fldChar w:fldCharType="begin"/>
      </w:r>
      <w:r w:rsidRPr="00D973BF">
        <w:rPr>
          <w:rFonts w:ascii="Cambria" w:hAnsi="Cambria"/>
        </w:rPr>
        <w:instrText xml:space="preserve"> LINK Excel.Sheet.12 "Classeur1" "Feuil1!L2C1:L3C13" \a \f 4 \h </w:instrText>
      </w:r>
      <w:r w:rsidR="00D973BF">
        <w:rPr>
          <w:rFonts w:ascii="Cambria" w:hAnsi="Cambria"/>
        </w:rPr>
        <w:instrText xml:space="preserve"> \* MERGEFORMAT </w:instrText>
      </w:r>
      <w:r w:rsidRPr="00D973BF">
        <w:rPr>
          <w:rFonts w:ascii="Cambria" w:hAnsi="Cambria"/>
        </w:rPr>
        <w:fldChar w:fldCharType="separate"/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6"/>
        <w:gridCol w:w="1043"/>
        <w:gridCol w:w="1044"/>
        <w:gridCol w:w="1044"/>
        <w:gridCol w:w="1044"/>
        <w:gridCol w:w="146"/>
        <w:gridCol w:w="1046"/>
        <w:gridCol w:w="1042"/>
        <w:gridCol w:w="1044"/>
        <w:gridCol w:w="1044"/>
        <w:gridCol w:w="1044"/>
        <w:gridCol w:w="1045"/>
        <w:gridCol w:w="1232"/>
        <w:gridCol w:w="1130"/>
      </w:tblGrid>
      <w:tr w:rsidR="00D973BF" w:rsidRPr="00D973BF" w:rsidTr="00D973BF">
        <w:trPr>
          <w:trHeight w:val="3690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18 (27 avril)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19 (4 mai)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20 (11 mai)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21 (18 mai)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22 (25 mai)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4472C4"/>
          </w:tcPr>
          <w:p w:rsidR="00D973BF" w:rsidRPr="00D973BF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23 (1er juin)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24 (8 juin)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25 (15 juin)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26 (22 juin)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27 (27 juin)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Volume de production semaine 28 (4 juillet)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Commandes reçues (en volume et nombre), typologie de</w:t>
            </w:r>
            <w:r w:rsidRPr="00D973BF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 xml:space="preserve"> clientèle</w:t>
            </w: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 xml:space="preserve"> et indications sur la taille des commandes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Capacité à prendre de nouvelles commandes et délais</w:t>
            </w:r>
          </w:p>
        </w:tc>
      </w:tr>
      <w:tr w:rsidR="00D973BF" w:rsidRPr="00D973BF" w:rsidTr="00D973BF">
        <w:trPr>
          <w:trHeight w:val="30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EEAF6"/>
          </w:tcPr>
          <w:p w:rsidR="00D973BF" w:rsidRPr="00D973BF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:rsidR="00D973BF" w:rsidRPr="00C2584B" w:rsidRDefault="00D973BF" w:rsidP="00C2584B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</w:pPr>
            <w:r w:rsidRPr="00C2584B">
              <w:rPr>
                <w:rFonts w:ascii="Cambria" w:eastAsia="Times New Roman" w:hAnsi="Cambria" w:cs="Calibri"/>
                <w:color w:val="FFFFFF"/>
                <w:sz w:val="18"/>
                <w:szCs w:val="18"/>
                <w:lang w:eastAsia="fr-FR"/>
              </w:rPr>
              <w:t> </w:t>
            </w:r>
          </w:p>
        </w:tc>
      </w:tr>
    </w:tbl>
    <w:p w:rsidR="00C2584B" w:rsidRPr="00D973BF" w:rsidRDefault="00C2584B" w:rsidP="004429BA">
      <w:pPr>
        <w:rPr>
          <w:rFonts w:ascii="Cambria" w:hAnsi="Cambria" w:cs="Times New Roman"/>
          <w:i/>
        </w:rPr>
        <w:sectPr w:rsidR="00C2584B" w:rsidRPr="00D973BF" w:rsidSect="004429BA">
          <w:pgSz w:w="16838" w:h="11906" w:orient="landscape"/>
          <w:pgMar w:top="1417" w:right="1417" w:bottom="1417" w:left="1417" w:header="709" w:footer="709" w:gutter="0"/>
          <w:cols w:space="708"/>
          <w:docGrid w:linePitch="360"/>
        </w:sectPr>
      </w:pPr>
      <w:r w:rsidRPr="00D973BF">
        <w:rPr>
          <w:rFonts w:ascii="Cambria" w:hAnsi="Cambria" w:cs="Times New Roman"/>
          <w:i/>
        </w:rPr>
        <w:fldChar w:fldCharType="end"/>
      </w:r>
    </w:p>
    <w:p w:rsidR="00C2584B" w:rsidRPr="00D973BF" w:rsidRDefault="00C2584B" w:rsidP="004429BA">
      <w:pPr>
        <w:rPr>
          <w:rFonts w:ascii="Cambria" w:hAnsi="Cambria" w:cs="Times New Roman"/>
        </w:rPr>
      </w:pPr>
      <w:r w:rsidRPr="00D973BF">
        <w:rPr>
          <w:rFonts w:ascii="Cambria" w:hAnsi="Cambria" w:cs="Times New Roman"/>
        </w:rPr>
        <w:lastRenderedPageBreak/>
        <w:t>Date :</w:t>
      </w:r>
    </w:p>
    <w:p w:rsidR="00C2584B" w:rsidRPr="00D973BF" w:rsidRDefault="00C2584B" w:rsidP="004429BA">
      <w:pPr>
        <w:rPr>
          <w:rFonts w:ascii="Cambria" w:hAnsi="Cambria" w:cs="Times New Roman"/>
        </w:rPr>
      </w:pPr>
      <w:r w:rsidRPr="00D973BF">
        <w:rPr>
          <w:rFonts w:ascii="Cambria" w:hAnsi="Cambria" w:cs="Times New Roman"/>
        </w:rPr>
        <w:t>Nom :</w:t>
      </w:r>
    </w:p>
    <w:p w:rsidR="00C2584B" w:rsidRPr="00D973BF" w:rsidRDefault="00C2584B" w:rsidP="004429BA">
      <w:pPr>
        <w:rPr>
          <w:rFonts w:ascii="Cambria" w:hAnsi="Cambria" w:cs="Times New Roman"/>
        </w:rPr>
      </w:pPr>
      <w:r w:rsidRPr="00D973BF">
        <w:rPr>
          <w:rFonts w:ascii="Cambria" w:hAnsi="Cambria" w:cs="Times New Roman"/>
        </w:rPr>
        <w:t>Qualité :</w:t>
      </w:r>
    </w:p>
    <w:p w:rsidR="00C2584B" w:rsidRPr="00D973BF" w:rsidRDefault="00C2584B" w:rsidP="004429BA">
      <w:pPr>
        <w:rPr>
          <w:rFonts w:ascii="Cambria" w:hAnsi="Cambria" w:cs="Times New Roman"/>
        </w:rPr>
      </w:pPr>
      <w:r w:rsidRPr="00D973BF">
        <w:rPr>
          <w:rFonts w:ascii="Cambria" w:hAnsi="Cambria" w:cs="Times New Roman"/>
        </w:rPr>
        <w:t>Signature :</w:t>
      </w:r>
    </w:p>
    <w:p w:rsidR="00C2584B" w:rsidRPr="00D973BF" w:rsidRDefault="00C2584B" w:rsidP="004429BA">
      <w:pPr>
        <w:rPr>
          <w:rFonts w:ascii="Cambria" w:hAnsi="Cambria" w:cs="Times New Roman"/>
          <w:i/>
        </w:rPr>
      </w:pPr>
    </w:p>
    <w:p w:rsidR="00C2584B" w:rsidRPr="00D973BF" w:rsidRDefault="00C2584B" w:rsidP="004429BA">
      <w:pPr>
        <w:rPr>
          <w:rFonts w:ascii="Cambria" w:hAnsi="Cambria" w:cs="Times New Roman"/>
          <w:i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p w:rsidR="00C2584B" w:rsidRPr="00D973BF" w:rsidRDefault="00C2584B" w:rsidP="00C2584B">
      <w:pPr>
        <w:rPr>
          <w:rFonts w:ascii="Cambria" w:hAnsi="Cambria" w:cs="Times New Roman"/>
        </w:rPr>
      </w:pPr>
    </w:p>
    <w:sectPr w:rsidR="00C2584B" w:rsidRPr="00D973BF" w:rsidSect="00C2584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4B0" w:rsidRDefault="006134B0" w:rsidP="004429BA">
      <w:pPr>
        <w:spacing w:after="0" w:line="240" w:lineRule="auto"/>
      </w:pPr>
      <w:r>
        <w:separator/>
      </w:r>
    </w:p>
  </w:endnote>
  <w:endnote w:type="continuationSeparator" w:id="0">
    <w:p w:rsidR="006134B0" w:rsidRDefault="006134B0" w:rsidP="004429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0970246"/>
      <w:docPartObj>
        <w:docPartGallery w:val="Page Numbers (Bottom of Page)"/>
        <w:docPartUnique/>
      </w:docPartObj>
    </w:sdtPr>
    <w:sdtEndPr/>
    <w:sdtContent>
      <w:p w:rsidR="004429BA" w:rsidRDefault="008C6C6B">
        <w:pPr>
          <w:pStyle w:val="Pieddepage"/>
        </w:pPr>
        <w:r w:rsidRPr="008C6C6B">
          <w:rPr>
            <w:rFonts w:ascii="Times New Roman" w:hAnsi="Times New Roman" w:cs="Times New Roman"/>
          </w:rPr>
          <w:fldChar w:fldCharType="begin"/>
        </w:r>
        <w:r w:rsidRPr="008C6C6B">
          <w:rPr>
            <w:rFonts w:ascii="Times New Roman" w:hAnsi="Times New Roman" w:cs="Times New Roman"/>
          </w:rPr>
          <w:instrText>PAGE   \* MERGEFORMAT</w:instrText>
        </w:r>
        <w:r w:rsidRPr="008C6C6B">
          <w:rPr>
            <w:rFonts w:ascii="Times New Roman" w:hAnsi="Times New Roman" w:cs="Times New Roman"/>
          </w:rPr>
          <w:fldChar w:fldCharType="separate"/>
        </w:r>
        <w:r w:rsidR="0019156A">
          <w:rPr>
            <w:rFonts w:ascii="Times New Roman" w:hAnsi="Times New Roman" w:cs="Times New Roman"/>
            <w:noProof/>
          </w:rPr>
          <w:t>1</w:t>
        </w:r>
        <w:r w:rsidRPr="008C6C6B">
          <w:rPr>
            <w:rFonts w:ascii="Times New Roman" w:hAnsi="Times New Roman" w:cs="Times New Roman"/>
          </w:rPr>
          <w:fldChar w:fldCharType="end"/>
        </w:r>
        <w:r w:rsidR="00C2584B">
          <w:rPr>
            <w:rFonts w:ascii="Times New Roman" w:hAnsi="Times New Roman" w:cs="Times New Roman"/>
          </w:rPr>
          <w:t>/3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4B0" w:rsidRDefault="006134B0" w:rsidP="004429BA">
      <w:pPr>
        <w:spacing w:after="0" w:line="240" w:lineRule="auto"/>
      </w:pPr>
      <w:r>
        <w:separator/>
      </w:r>
    </w:p>
  </w:footnote>
  <w:footnote w:type="continuationSeparator" w:id="0">
    <w:p w:rsidR="006134B0" w:rsidRDefault="006134B0" w:rsidP="004429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822" w:rsidRPr="006F5822" w:rsidRDefault="006F5822" w:rsidP="006F5822">
    <w:pPr>
      <w:jc w:val="center"/>
      <w:rPr>
        <w:rFonts w:ascii="Times New Roman" w:hAnsi="Times New Roman" w:cs="Times New Roman"/>
      </w:rPr>
    </w:pPr>
    <w:r w:rsidRPr="006F5822">
      <w:rPr>
        <w:rFonts w:ascii="Times New Roman" w:hAnsi="Times New Roman" w:cs="Times New Roman"/>
        <w:color w:val="C00000"/>
      </w:rPr>
      <w:t xml:space="preserve">Formulaire </w:t>
    </w:r>
    <w:r w:rsidR="00A541CF">
      <w:rPr>
        <w:rFonts w:ascii="Times New Roman" w:hAnsi="Times New Roman" w:cs="Times New Roman"/>
        <w:color w:val="C00000"/>
      </w:rPr>
      <w:t>pour l’</w:t>
    </w:r>
    <w:r w:rsidRPr="006F5822">
      <w:rPr>
        <w:rFonts w:ascii="Times New Roman" w:hAnsi="Times New Roman" w:cs="Times New Roman"/>
        <w:color w:val="C00000"/>
      </w:rPr>
      <w:t xml:space="preserve">utilisation de complexes </w:t>
    </w:r>
    <w:r w:rsidR="00A541CF">
      <w:rPr>
        <w:rFonts w:ascii="Times New Roman" w:hAnsi="Times New Roman" w:cs="Times New Roman"/>
        <w:color w:val="C00000"/>
      </w:rPr>
      <w:t xml:space="preserve">(même fournisseur, même référence) ayant été testés par un tiers compétent, en particulier la DGA, </w:t>
    </w:r>
    <w:r w:rsidR="00A541CF" w:rsidRPr="00A541CF">
      <w:rPr>
        <w:rFonts w:ascii="Times New Roman" w:hAnsi="Times New Roman" w:cs="Times New Roman"/>
        <w:color w:val="C00000"/>
      </w:rPr>
      <w:t>et présentant des propriétés répondant aux exigences de la note</w:t>
    </w:r>
    <w:r w:rsidR="00A541CF" w:rsidRPr="006F5822">
      <w:rPr>
        <w:rFonts w:ascii="Times New Roman" w:hAnsi="Times New Roman" w:cs="Times New Roman"/>
        <w:color w:val="C00000"/>
      </w:rPr>
      <w:t xml:space="preserve"> </w:t>
    </w:r>
    <w:r w:rsidR="00A541CF" w:rsidRPr="00A541CF">
      <w:rPr>
        <w:rFonts w:ascii="Times New Roman" w:hAnsi="Times New Roman" w:cs="Times New Roman"/>
        <w:color w:val="C00000"/>
      </w:rPr>
      <w:t>d’information du 29 mars 2019</w:t>
    </w:r>
    <w:r w:rsidR="00A541CF">
      <w:rPr>
        <w:rFonts w:ascii="Times New Roman" w:hAnsi="Times New Roman" w:cs="Times New Roman"/>
        <w:color w:val="C00000"/>
      </w:rPr>
      <w:t xml:space="preserve"> </w:t>
    </w:r>
    <w:r w:rsidR="00A541CF" w:rsidRPr="00A541CF">
      <w:rPr>
        <w:rFonts w:ascii="Times New Roman" w:hAnsi="Times New Roman" w:cs="Times New Roman"/>
        <w:color w:val="C00000"/>
      </w:rPr>
      <w:t>portant sur les nouvelles catégories de masques réservés à des usages non sanitaires</w:t>
    </w:r>
  </w:p>
  <w:p w:rsidR="006F5822" w:rsidRDefault="006F582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D2203"/>
    <w:multiLevelType w:val="hybridMultilevel"/>
    <w:tmpl w:val="0A68B86C"/>
    <w:lvl w:ilvl="0" w:tplc="A9662696">
      <w:start w:val="40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97FAA"/>
    <w:multiLevelType w:val="multilevel"/>
    <w:tmpl w:val="76563EDC"/>
    <w:lvl w:ilvl="0">
      <w:start w:val="1"/>
      <w:numFmt w:val="bullet"/>
      <w:pStyle w:val="Puces1-RapportAnnexes"/>
      <w:lvlText w:val=""/>
      <w:lvlJc w:val="left"/>
      <w:pPr>
        <w:tabs>
          <w:tab w:val="num" w:pos="567"/>
        </w:tabs>
        <w:ind w:left="567" w:hanging="567"/>
      </w:pPr>
      <w:rPr>
        <w:rFonts w:ascii="Wingdings 2" w:hAnsi="Wingdings 2" w:hint="default"/>
        <w:b w:val="0"/>
        <w:i w:val="0"/>
        <w:color w:val="008000"/>
        <w:sz w:val="18"/>
      </w:rPr>
    </w:lvl>
    <w:lvl w:ilvl="1">
      <w:start w:val="1"/>
      <w:numFmt w:val="bullet"/>
      <w:pStyle w:val="Puces2-RapportAnnexes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pStyle w:val="Puces3-RapportAnnexes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</w:lvl>
  </w:abstractNum>
  <w:abstractNum w:abstractNumId="2" w15:restartNumberingAfterBreak="0">
    <w:nsid w:val="268E4251"/>
    <w:multiLevelType w:val="multilevel"/>
    <w:tmpl w:val="7FD4722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008000"/>
        <w:sz w:val="18"/>
      </w:rPr>
    </w:lvl>
    <w:lvl w:ilvl="1">
      <w:start w:val="1"/>
      <w:numFmt w:val="bullet"/>
      <w:lvlText w:val="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b w:val="0"/>
        <w:i w:val="0"/>
        <w:color w:val="008000"/>
        <w:sz w:val="22"/>
      </w:rPr>
    </w:lvl>
    <w:lvl w:ilvl="2">
      <w:start w:val="1"/>
      <w:numFmt w:val="bullet"/>
      <w:lvlText w:val="-"/>
      <w:lvlJc w:val="left"/>
      <w:pPr>
        <w:tabs>
          <w:tab w:val="num" w:pos="1134"/>
        </w:tabs>
        <w:ind w:left="1701" w:hanging="567"/>
      </w:pPr>
      <w:rPr>
        <w:rFonts w:ascii="Cambria" w:hAnsi="Cambria" w:hint="default"/>
        <w:b/>
        <w:i w:val="0"/>
        <w:color w:val="0080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78"/>
        </w:tabs>
        <w:ind w:left="1278" w:hanging="864"/>
      </w:pPr>
    </w:lvl>
    <w:lvl w:ilvl="4">
      <w:start w:val="1"/>
      <w:numFmt w:val="decimal"/>
      <w:lvlText w:val="%1."/>
      <w:lvlJc w:val="left"/>
      <w:pPr>
        <w:tabs>
          <w:tab w:val="num" w:pos="1422"/>
        </w:tabs>
        <w:ind w:left="1422" w:hanging="1008"/>
      </w:pPr>
    </w:lvl>
    <w:lvl w:ilvl="5">
      <w:start w:val="1"/>
      <w:numFmt w:val="decimal"/>
      <w:lvlText w:val="%1.%6"/>
      <w:lvlJc w:val="left"/>
      <w:pPr>
        <w:tabs>
          <w:tab w:val="num" w:pos="1566"/>
        </w:tabs>
        <w:ind w:left="1566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10"/>
        </w:tabs>
        <w:ind w:left="1710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998" w:hanging="1584"/>
      </w:pPr>
    </w:lvl>
  </w:abstractNum>
  <w:abstractNum w:abstractNumId="3" w15:restartNumberingAfterBreak="0">
    <w:nsid w:val="284942AF"/>
    <w:multiLevelType w:val="hybridMultilevel"/>
    <w:tmpl w:val="AD90FD04"/>
    <w:lvl w:ilvl="0" w:tplc="A9662696">
      <w:start w:val="400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1B3"/>
    <w:rsid w:val="00005032"/>
    <w:rsid w:val="0019156A"/>
    <w:rsid w:val="002E0545"/>
    <w:rsid w:val="003B0C3F"/>
    <w:rsid w:val="004429BA"/>
    <w:rsid w:val="004531B3"/>
    <w:rsid w:val="006134B0"/>
    <w:rsid w:val="006170FC"/>
    <w:rsid w:val="006F5822"/>
    <w:rsid w:val="008C6C6B"/>
    <w:rsid w:val="008E257B"/>
    <w:rsid w:val="009B2C21"/>
    <w:rsid w:val="00A541CF"/>
    <w:rsid w:val="00A602CD"/>
    <w:rsid w:val="00A808C1"/>
    <w:rsid w:val="00BA4A34"/>
    <w:rsid w:val="00C2584B"/>
    <w:rsid w:val="00D9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3B659-01DA-428D-9F1E-885BF829E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uces1-RapportAnnexes">
    <w:name w:val="Puces 1 - Rapport &amp; Annexes"/>
    <w:basedOn w:val="Normal"/>
    <w:uiPriority w:val="99"/>
    <w:rsid w:val="009B2C21"/>
    <w:pPr>
      <w:numPr>
        <w:numId w:val="1"/>
      </w:numPr>
      <w:overflowPunct w:val="0"/>
      <w:autoSpaceDE w:val="0"/>
      <w:autoSpaceDN w:val="0"/>
      <w:spacing w:before="60" w:after="60" w:line="240" w:lineRule="auto"/>
      <w:jc w:val="both"/>
    </w:pPr>
    <w:rPr>
      <w:rFonts w:ascii="Cambria" w:hAnsi="Cambria" w:cs="Times New Roman"/>
      <w:lang w:eastAsia="fr-FR"/>
    </w:rPr>
  </w:style>
  <w:style w:type="paragraph" w:customStyle="1" w:styleId="Puces2-RapportAnnexes">
    <w:name w:val="Puces 2 - Rapport &amp; Annexes"/>
    <w:basedOn w:val="Normal"/>
    <w:uiPriority w:val="99"/>
    <w:rsid w:val="009B2C21"/>
    <w:pPr>
      <w:numPr>
        <w:ilvl w:val="1"/>
        <w:numId w:val="1"/>
      </w:numPr>
      <w:overflowPunct w:val="0"/>
      <w:autoSpaceDE w:val="0"/>
      <w:autoSpaceDN w:val="0"/>
      <w:spacing w:before="60" w:after="60" w:line="240" w:lineRule="auto"/>
      <w:jc w:val="both"/>
    </w:pPr>
    <w:rPr>
      <w:rFonts w:ascii="Cambria" w:hAnsi="Cambria" w:cs="Times New Roman"/>
      <w:lang w:eastAsia="fr-FR"/>
    </w:rPr>
  </w:style>
  <w:style w:type="paragraph" w:customStyle="1" w:styleId="Puces3-RapportAnnexes">
    <w:name w:val="Puces 3 - Rapport &amp; Annexes"/>
    <w:basedOn w:val="Normal"/>
    <w:uiPriority w:val="99"/>
    <w:rsid w:val="009B2C21"/>
    <w:pPr>
      <w:numPr>
        <w:ilvl w:val="2"/>
        <w:numId w:val="1"/>
      </w:numPr>
      <w:overflowPunct w:val="0"/>
      <w:autoSpaceDE w:val="0"/>
      <w:autoSpaceDN w:val="0"/>
      <w:spacing w:before="60" w:after="60" w:line="240" w:lineRule="auto"/>
      <w:jc w:val="both"/>
    </w:pPr>
    <w:rPr>
      <w:rFonts w:ascii="Cambria" w:hAnsi="Cambria" w:cs="Times New Roman"/>
      <w:lang w:eastAsia="fr-FR"/>
    </w:rPr>
  </w:style>
  <w:style w:type="character" w:styleId="Lienhypertexte">
    <w:name w:val="Hyperlink"/>
    <w:basedOn w:val="Policepardfaut"/>
    <w:uiPriority w:val="99"/>
    <w:unhideWhenUsed/>
    <w:rsid w:val="00A602CD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BA4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A4A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A4A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A4A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A4A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A4A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A4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4A34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uiPriority w:val="99"/>
    <w:semiHidden/>
    <w:rsid w:val="004429BA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44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429BA"/>
  </w:style>
  <w:style w:type="paragraph" w:styleId="Pieddepage">
    <w:name w:val="footer"/>
    <w:basedOn w:val="Normal"/>
    <w:link w:val="PieddepageCar"/>
    <w:uiPriority w:val="99"/>
    <w:unhideWhenUsed/>
    <w:rsid w:val="004429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429BA"/>
  </w:style>
  <w:style w:type="paragraph" w:styleId="Paragraphedeliste">
    <w:name w:val="List Paragraph"/>
    <w:basedOn w:val="Normal"/>
    <w:uiPriority w:val="34"/>
    <w:qFormat/>
    <w:rsid w:val="006F5822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41CF"/>
    <w:rPr>
      <w:b/>
      <w:bCs/>
    </w:rPr>
  </w:style>
  <w:style w:type="paragraph" w:styleId="Lgende">
    <w:name w:val="caption"/>
    <w:basedOn w:val="Normal"/>
    <w:next w:val="Normal"/>
    <w:uiPriority w:val="35"/>
    <w:unhideWhenUsed/>
    <w:qFormat/>
    <w:rsid w:val="00A541C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ques.dge@finances.gouv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7BB3B6-1138-4A63-8A47-41C7C4AD5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358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Secrétariat Général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 ROCH Sandrine</dc:creator>
  <cp:keywords/>
  <dc:description/>
  <cp:lastModifiedBy>PARIDIMAL Eric</cp:lastModifiedBy>
  <cp:revision>5</cp:revision>
  <dcterms:created xsi:type="dcterms:W3CDTF">2020-04-30T14:35:00Z</dcterms:created>
  <dcterms:modified xsi:type="dcterms:W3CDTF">2020-05-01T16:23:00Z</dcterms:modified>
</cp:coreProperties>
</file>